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D4B4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1A11CE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Wczesne doświadczenia, ekspresja genów i konsekwencje na całe życie</w:t>
      </w:r>
    </w:p>
    <w:p w14:paraId="6918CBB0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Calibri" w:hAnsi="Source Sans Pro" w:cs="Times New Roman"/>
          <w:color w:val="000000"/>
          <w:sz w:val="27"/>
          <w:szCs w:val="27"/>
        </w:rPr>
      </w:pPr>
      <w:r w:rsidRPr="001A11C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begin"/>
      </w:r>
      <w:r w:rsidRPr="001A11CE">
        <w:rPr>
          <w:rFonts w:ascii="Source Sans Pro" w:eastAsia="Calibri" w:hAnsi="Source Sans Pro" w:cs="Times New Roman"/>
          <w:color w:val="000000"/>
          <w:sz w:val="27"/>
          <w:szCs w:val="27"/>
        </w:rPr>
        <w:instrText xml:space="preserve"> INCLUDEPICTURE "https://content.yudu.com/web/1r3p1/0A1zifp/PoultryWorld2022-2/html/htmlArticles/articles_TC5FB4n6_TVDdRYX/images/IMG_shutterstock_246455863.jpg" \* MERGEFORMATINET </w:instrText>
      </w:r>
      <w:r w:rsidRPr="001A11C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separate"/>
      </w:r>
      <w:r w:rsidRPr="001A11CE">
        <w:rPr>
          <w:rFonts w:ascii="Source Sans Pro" w:eastAsia="Calibri" w:hAnsi="Source Sans Pro" w:cs="Times New Roman"/>
          <w:color w:val="000000"/>
          <w:sz w:val="27"/>
          <w:szCs w:val="27"/>
        </w:rPr>
        <w:pict w14:anchorId="14B98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hanges in the epigenome early in life can impact lifetime health en performance." style="width:325.5pt;height:244.5pt">
            <v:imagedata r:id="rId4" r:href="rId5"/>
          </v:shape>
        </w:pict>
      </w:r>
      <w:r w:rsidRPr="001A11CE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end"/>
      </w:r>
    </w:p>
    <w:p w14:paraId="774B1805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Zmiany we wczesnym okresie życia w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epigenomie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mogą wpływać na zdrowie i sprawność organizmu przez całe życie.</w:t>
      </w:r>
    </w:p>
    <w:p w14:paraId="16E5660A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Szeroko zakrojone badania nad żywieniem we wczesnym okresie po wylęgu wykazały jego znaczący wpływ na wydajność w całym okresie życia brojlerów użytkowych. Wykazano, że doskonałe żywienie w tej fazie poprawia tempo wzrostu i zwiększa udział mięśni piersiowych aż do wieku konsumpcyjnego. Jakie są jednak mechanizmy stojące za tą poprawą i, co ważniejsze, jak możemy je wykorzystać?</w:t>
      </w:r>
    </w:p>
    <w:p w14:paraId="79884899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Felieton partnera</w:t>
      </w:r>
    </w:p>
    <w:p w14:paraId="7C5613E8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Mark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Karimi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AB-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Neo</w:t>
      </w:r>
      <w:proofErr w:type="spellEnd"/>
    </w:p>
    <w:p w14:paraId="0D46B514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Kurczak ma 39 chromosomów zawierających od 20 000 do 23 000 genów kodujących białka, które tworzą specyficzne cechy tego zwierzęcia. Niestety, nie każdy gen zachowuje się tak, jak został zaprogramowany, a doświadczenia środowiskowe i żywieniowe mogą pozostawić ślad chemiczny, który decyduje o tym, czy i jak geny są wyrażane. Ten zbiór markerów chemicznych nazywamy "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epigenomem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".</w:t>
      </w:r>
    </w:p>
    <w:p w14:paraId="6C9D753D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Epigenetyka</w:t>
      </w:r>
    </w:p>
    <w:p w14:paraId="6FA78F1B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Na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epigenom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mogą wpływać pozytywne i negatywne doświadczenia (prawidłowa temperatura lub jej wahania, dobra lub zła higiena, wysokiej jakości pasza lub czynniki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antyżywieniowe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itp.), które pozostawiają unikalny "podpis" na genach. Sygnatura ta może tymczasowo lub trwale wpływać na łatwość włączania lub wyłączania genów, a modyfikacje epigenetyczne występują zwykle w komórkach wchodzących w skład układów narządów, wpływając w konsekwencji na ich rozwój i funkcjonowanie. Dlatego zmiany w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epigenomie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we wczesnym okresie życia, kiedy rozwijają się </w:t>
      </w: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>wyspecjalizowane narządy, takie jak jelita, serce czy płuca, mogą mieć znaczący wpływ na zdrowie i sprawność organizmu w ciągu całego życia.</w:t>
      </w:r>
    </w:p>
    <w:p w14:paraId="0A29F905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Dla jednostek komercyjnych oznacza to, że możemy pomóc ptakom w osiąganiu lepszych wyników poprzez zapewnienie im pozytywnych doświadczeń we wczesnym okresie życia w środowisku, w którym rosną. Taka koncepcja może być również wykorzystana do pomocy ptakom w przezwyciężeniu innych złożonych problemów. Jednak szybszy wzrost, wydajność paszy i lepsza jakość mięsa, które przyczyniają się do dzisiejszego sukcesu branży, nie pozostają bez wpływu na cenę. Naukowcy odkryli, że cechy produkcyjne mogą być ściśle powiązane z cechami immunologicznymi, co oznacza, że wzrost, efektywność wykorzystania paszy i jakość mięsa mogą być również związane z pogorszeniem stanu zdrowia lub wyzwaniem dla układu odpornościowego brojlerów. Pogorszenie stanu układu odpornościowego zwierzęcia na każdym etapie może prowadzić do nasilenia zaburzeń metabolicznych, zmniejszenia odporności na infekcje i wyższej śmiertelności.</w:t>
      </w:r>
    </w:p>
    <w:p w14:paraId="0742F230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Balans</w:t>
      </w:r>
    </w:p>
    <w:p w14:paraId="2E51C5D9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Jelito brojlerów jest złożone, a jego zdrowie ma kluczowe znaczenie dla maksymalizacji wydajności. Zdrowie jelit polega na równowadze pomiędzy dietą, prawidłowym trawieniem/wchłanianiem, stabilną i korzystną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mikrobiotą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oraz skutecznym statusem immunologicznym jelit. Składniki odżywcze dostarczają energii organom i tkankom, ale także dostarczają substancji niezbędnych do produkcji białek ścisłego połączenia, mucyn,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chemokin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cytokin - wszystkich istotnych składników układu odpornościowego ptaków. Cytokiny to grupa rozpuszczalnych mediatorów białkowych lub peptydowych produkowanych przez komórki zwierzęcia w celu modyfikacji zachowania innych komórek, a tym samym odgrywających kluczową rolę w procesach odpornościowych i zapalnych.</w:t>
      </w:r>
    </w:p>
    <w:p w14:paraId="121FE855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Naukowcy wyróżniają dwa rodzaje zapalenia: patologiczne (klasyczne) i fizjologiczne. Przemysł zna patologiczne zapalenie jelit i jego konsekwencje (niskie spożycie paszy, utrata masy ciała, niska wydajność i jednorodność paszy itp.), ale fizjologiczne zapalenie jest powszechnie niedoceniane. Nawet w warunkach homeostazy, jelito jest nieustannie narażone na działanie wielu egzogennych bodźców antygenowych, dietetycznych i toksycznych, a także bodźców endogennych (metabolitów i składników pochodzących z bakterii). Może to prowadzić do słabej stymulacji wrodzonego układu odpornościowego, który jest stale regulowany i ograniczany, aby zapobiec uszkodzeniu jelita, a ta kontrolowana odpowiedź zapalna została określona jako "fizjologiczny stan zapalny".</w:t>
      </w:r>
    </w:p>
    <w:p w14:paraId="6D20B7D4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Niezrównoważone żywienie może zaburzyć homeostazę jelitową zwierzęcia, powodując niekontrolowany i przewlekły stan zapalny, a ptaki mogą zużywać energię na niepotrzebną biosyntezę, co obniża wydajność. Jednak interakcje pomiędzy składnikami odżywczymi a odpornością jelit nie ograniczają się do komórek jelitowych i ostatecznie wpływają na homeostazę ogólnoustrojową, która jest odpowiedzialna za cały organizm, wpływając w ten sposób na wzrost i wydajność. Fizjologiczny stan zapalny może nawet przekształcić się w patologiczny, jeśli nie jest prawidłowo prowadzony. Wracając do homeostazy fizjologicznej: zapalenie opiera się na szlakach sygnalizacyjnych indukowanych przez receptory odporności wrodzonej, z cytokinami prozapalnymi zaangażowanymi w indukowaną odpowiedź immunologiczną u zwierząt. Odpowiedź ta jest stymulowana przez makrofagi po aktywacji przez infekcję bakteryjną, toksyny, uraz tkanki lub nawet nadmiar składników odżywczych i metabolitów.</w:t>
      </w:r>
    </w:p>
    <w:p w14:paraId="1B392DA3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</w:p>
    <w:p w14:paraId="7B989629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Badania</w:t>
      </w:r>
    </w:p>
    <w:p w14:paraId="27C59BD5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 xml:space="preserve">Na Uniwersytecie w Turynie we Włoszech badano ekspresję jelitowych cytokin zapalnych u 3-dniowych kurcząt brojlerów. Wyniki (Tabela 1) sugerują, że włączenie do diety preparatu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Alphasoy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Gold (ASG) w pierwszych trzech dniach życia obniża poziom IFN-γ, TNF- α i IL-2, natomiast nie zmienia ekspresji IL4 w jelitach kurcząt brojlerów. IFN-γ, TNF- α i IL-2 są określane jako cytokiny prozapalne, ponieważ wywołują stan zapalny. Z kolei IL-4 jest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cytokiną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przeciwzapalną, która promuje rozwój limfocytów T-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helper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2 i hamuje syntezę cytokin prozapalnych indukowanych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lipopolisacharydem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. Znaczne obniżenie ekspresji cytokin prozapalnych bez wpływu na ekspresję IL-4 w tym eksperymencie można uznać za unikalną "sygnaturę" epigenetyczną we wczesnym okresie życia zwierzęcia z możliwym pozytywnym efektem na całe życie.</w:t>
      </w:r>
    </w:p>
    <w:p w14:paraId="62F7F472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Alphasoy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Gold (ASG) to wysoce strawny i spójny składnik funkcjonalny dla młodych piskląt drobiu, zaprojektowany i produkowany przez AB-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Neo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. Unikalny termomechaniczny i wspomagany enzymatycznie proces produkcji znacznie zmniejsza ilość białka opornego i zwiększa ilość białka szybko strawnego, co poprawia kinetykę trawienia białka w jelitach. Dodatkowo, profil węglowodanowy śruty sojowej jest zmieniany w procesie ASG, uwalniając około 16% więcej energii (w porównaniu do standardowego SBM), podczas gdy składniki bioaktywne wspierają rozwój optymalnego środowiska jelitowego poprzez tworzenie dobrych warunków dla efektywnego trawienia i wchłaniania składników odżywczych, jak również unikalnie modulują system immunologiczny ptaków.</w:t>
      </w:r>
    </w:p>
    <w:p w14:paraId="5D69B0D9" w14:textId="77777777" w:rsidR="001A11CE" w:rsidRPr="001A11CE" w:rsidRDefault="001A11CE" w:rsidP="001A11C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Tabela 1- Wpływ włączenia ASG do diety na względną ekspresję mRNA genów związanych z cytokinami w dwunastnicy i jelicie czczym 3-dniowych kurcząt brojlerów (n=4/leczenie dietetyczne).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791"/>
        <w:gridCol w:w="792"/>
        <w:gridCol w:w="786"/>
        <w:gridCol w:w="791"/>
        <w:gridCol w:w="787"/>
        <w:gridCol w:w="780"/>
        <w:gridCol w:w="781"/>
        <w:gridCol w:w="786"/>
        <w:gridCol w:w="787"/>
        <w:gridCol w:w="787"/>
      </w:tblGrid>
      <w:tr w:rsidR="001A11CE" w:rsidRPr="001A11CE" w14:paraId="4890B69B" w14:textId="77777777" w:rsidTr="005E10D7">
        <w:tc>
          <w:tcPr>
            <w:tcW w:w="1242" w:type="dxa"/>
            <w:shd w:val="clear" w:color="auto" w:fill="auto"/>
          </w:tcPr>
          <w:p w14:paraId="3AB26334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lang w:eastAsia="pl-PL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14:paraId="68948AB8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lang w:eastAsia="pl-PL"/>
              </w:rPr>
              <w:t>Dieta (D)</w:t>
            </w:r>
          </w:p>
        </w:tc>
        <w:tc>
          <w:tcPr>
            <w:tcW w:w="2414" w:type="dxa"/>
            <w:gridSpan w:val="3"/>
            <w:shd w:val="clear" w:color="auto" w:fill="auto"/>
          </w:tcPr>
          <w:p w14:paraId="259AA3F7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lang w:eastAsia="pl-PL"/>
              </w:rPr>
              <w:t>odcinek jelita (IS)</w:t>
            </w:r>
          </w:p>
        </w:tc>
        <w:tc>
          <w:tcPr>
            <w:tcW w:w="1609" w:type="dxa"/>
            <w:gridSpan w:val="2"/>
            <w:shd w:val="clear" w:color="auto" w:fill="auto"/>
          </w:tcPr>
          <w:p w14:paraId="3890FC85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lang w:eastAsia="pl-PL"/>
              </w:rPr>
              <w:t>SEM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2D34403A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lang w:eastAsia="pl-PL"/>
              </w:rPr>
              <w:t>Wartość P</w:t>
            </w:r>
          </w:p>
        </w:tc>
      </w:tr>
      <w:tr w:rsidR="001A11CE" w:rsidRPr="001A11CE" w14:paraId="4B3EF6BA" w14:textId="77777777" w:rsidTr="005E10D7">
        <w:tc>
          <w:tcPr>
            <w:tcW w:w="1242" w:type="dxa"/>
            <w:shd w:val="clear" w:color="auto" w:fill="auto"/>
          </w:tcPr>
          <w:p w14:paraId="72BA215C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</w:tcPr>
          <w:p w14:paraId="699ECA71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C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14:paraId="0BC9535B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T1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14:paraId="458F78AA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T2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14:paraId="2C14EAD9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DU</w:t>
            </w:r>
          </w:p>
        </w:tc>
        <w:tc>
          <w:tcPr>
            <w:tcW w:w="805" w:type="dxa"/>
            <w:shd w:val="clear" w:color="auto" w:fill="auto"/>
          </w:tcPr>
          <w:p w14:paraId="39825F8C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JE</w:t>
            </w:r>
          </w:p>
        </w:tc>
        <w:tc>
          <w:tcPr>
            <w:tcW w:w="804" w:type="dxa"/>
            <w:shd w:val="clear" w:color="auto" w:fill="auto"/>
          </w:tcPr>
          <w:p w14:paraId="59985A18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805" w:type="dxa"/>
            <w:shd w:val="clear" w:color="auto" w:fill="auto"/>
          </w:tcPr>
          <w:p w14:paraId="44C53B90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IS</w:t>
            </w:r>
          </w:p>
        </w:tc>
        <w:tc>
          <w:tcPr>
            <w:tcW w:w="804" w:type="dxa"/>
            <w:shd w:val="clear" w:color="auto" w:fill="auto"/>
          </w:tcPr>
          <w:p w14:paraId="5D8ACBEB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805" w:type="dxa"/>
            <w:shd w:val="clear" w:color="auto" w:fill="auto"/>
          </w:tcPr>
          <w:p w14:paraId="30BDD096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IS</w:t>
            </w:r>
          </w:p>
        </w:tc>
        <w:tc>
          <w:tcPr>
            <w:tcW w:w="805" w:type="dxa"/>
            <w:shd w:val="clear" w:color="auto" w:fill="auto"/>
          </w:tcPr>
          <w:p w14:paraId="7CF7D8A4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D x IS</w:t>
            </w:r>
          </w:p>
        </w:tc>
      </w:tr>
      <w:tr w:rsidR="001A11CE" w:rsidRPr="001A11CE" w14:paraId="7339C7EA" w14:textId="77777777" w:rsidTr="005E10D7">
        <w:tc>
          <w:tcPr>
            <w:tcW w:w="1242" w:type="dxa"/>
            <w:shd w:val="clear" w:color="auto" w:fill="auto"/>
          </w:tcPr>
          <w:p w14:paraId="498C0DD1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IL-2,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4 </w:t>
            </w:r>
            <w:proofErr w:type="spellStart"/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mean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14:paraId="1CFAF95F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1,267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>a</w:t>
            </w:r>
          </w:p>
        </w:tc>
        <w:tc>
          <w:tcPr>
            <w:tcW w:w="805" w:type="dxa"/>
            <w:shd w:val="clear" w:color="auto" w:fill="auto"/>
          </w:tcPr>
          <w:p w14:paraId="633D814F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0,460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>b</w:t>
            </w:r>
          </w:p>
        </w:tc>
        <w:tc>
          <w:tcPr>
            <w:tcW w:w="804" w:type="dxa"/>
            <w:shd w:val="clear" w:color="auto" w:fill="auto"/>
          </w:tcPr>
          <w:p w14:paraId="49969EB2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0,464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b</w:t>
            </w:r>
          </w:p>
        </w:tc>
        <w:tc>
          <w:tcPr>
            <w:tcW w:w="805" w:type="dxa"/>
            <w:shd w:val="clear" w:color="auto" w:fill="auto"/>
          </w:tcPr>
          <w:p w14:paraId="3252FB31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0,520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>a</w:t>
            </w:r>
          </w:p>
        </w:tc>
        <w:tc>
          <w:tcPr>
            <w:tcW w:w="805" w:type="dxa"/>
            <w:shd w:val="clear" w:color="auto" w:fill="auto"/>
          </w:tcPr>
          <w:p w14:paraId="347B4930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0,984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b</w:t>
            </w:r>
          </w:p>
        </w:tc>
        <w:tc>
          <w:tcPr>
            <w:tcW w:w="804" w:type="dxa"/>
            <w:shd w:val="clear" w:color="auto" w:fill="auto"/>
          </w:tcPr>
          <w:p w14:paraId="78B38DBA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0,16</w:t>
            </w:r>
          </w:p>
        </w:tc>
        <w:tc>
          <w:tcPr>
            <w:tcW w:w="805" w:type="dxa"/>
            <w:shd w:val="clear" w:color="auto" w:fill="auto"/>
          </w:tcPr>
          <w:p w14:paraId="1B5109DD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804" w:type="dxa"/>
            <w:shd w:val="clear" w:color="auto" w:fill="auto"/>
          </w:tcPr>
          <w:p w14:paraId="0EF42F57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0,054</w:t>
            </w:r>
          </w:p>
        </w:tc>
        <w:tc>
          <w:tcPr>
            <w:tcW w:w="805" w:type="dxa"/>
            <w:shd w:val="clear" w:color="auto" w:fill="auto"/>
          </w:tcPr>
          <w:p w14:paraId="48C8DE18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0,038</w:t>
            </w:r>
          </w:p>
        </w:tc>
        <w:tc>
          <w:tcPr>
            <w:tcW w:w="805" w:type="dxa"/>
            <w:shd w:val="clear" w:color="auto" w:fill="auto"/>
          </w:tcPr>
          <w:p w14:paraId="5CFD0F1E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0,083</w:t>
            </w:r>
          </w:p>
        </w:tc>
      </w:tr>
      <w:tr w:rsidR="001A11CE" w:rsidRPr="001A11CE" w14:paraId="7959DCDB" w14:textId="77777777" w:rsidTr="005E10D7">
        <w:tc>
          <w:tcPr>
            <w:tcW w:w="1242" w:type="dxa"/>
            <w:shd w:val="clear" w:color="auto" w:fill="auto"/>
          </w:tcPr>
          <w:p w14:paraId="0AB749EE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IL-4,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4 </w:t>
            </w:r>
            <w:proofErr w:type="spellStart"/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mean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14:paraId="349BF4EC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1,008</w:t>
            </w:r>
          </w:p>
        </w:tc>
        <w:tc>
          <w:tcPr>
            <w:tcW w:w="805" w:type="dxa"/>
            <w:shd w:val="clear" w:color="auto" w:fill="auto"/>
          </w:tcPr>
          <w:p w14:paraId="5E0FC3D2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0,510</w:t>
            </w:r>
          </w:p>
        </w:tc>
        <w:tc>
          <w:tcPr>
            <w:tcW w:w="804" w:type="dxa"/>
            <w:shd w:val="clear" w:color="auto" w:fill="auto"/>
          </w:tcPr>
          <w:p w14:paraId="1DD83113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0,571</w:t>
            </w:r>
          </w:p>
        </w:tc>
        <w:tc>
          <w:tcPr>
            <w:tcW w:w="805" w:type="dxa"/>
            <w:shd w:val="clear" w:color="auto" w:fill="auto"/>
          </w:tcPr>
          <w:p w14:paraId="09DF5AF5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0,272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a</w:t>
            </w:r>
          </w:p>
        </w:tc>
        <w:tc>
          <w:tcPr>
            <w:tcW w:w="805" w:type="dxa"/>
            <w:shd w:val="clear" w:color="auto" w:fill="auto"/>
          </w:tcPr>
          <w:p w14:paraId="58B10D31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1,110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b</w:t>
            </w:r>
          </w:p>
        </w:tc>
        <w:tc>
          <w:tcPr>
            <w:tcW w:w="804" w:type="dxa"/>
            <w:shd w:val="clear" w:color="auto" w:fill="auto"/>
          </w:tcPr>
          <w:p w14:paraId="1B5406BE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0,13</w:t>
            </w:r>
          </w:p>
        </w:tc>
        <w:tc>
          <w:tcPr>
            <w:tcW w:w="805" w:type="dxa"/>
            <w:shd w:val="clear" w:color="auto" w:fill="auto"/>
          </w:tcPr>
          <w:p w14:paraId="019356C2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0,11</w:t>
            </w:r>
          </w:p>
        </w:tc>
        <w:tc>
          <w:tcPr>
            <w:tcW w:w="804" w:type="dxa"/>
            <w:shd w:val="clear" w:color="auto" w:fill="auto"/>
          </w:tcPr>
          <w:p w14:paraId="0C73F8A4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0,423</w:t>
            </w:r>
          </w:p>
        </w:tc>
        <w:tc>
          <w:tcPr>
            <w:tcW w:w="805" w:type="dxa"/>
            <w:shd w:val="clear" w:color="auto" w:fill="auto"/>
          </w:tcPr>
          <w:p w14:paraId="58166CD7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0,010</w:t>
            </w:r>
          </w:p>
        </w:tc>
        <w:tc>
          <w:tcPr>
            <w:tcW w:w="805" w:type="dxa"/>
            <w:shd w:val="clear" w:color="auto" w:fill="auto"/>
          </w:tcPr>
          <w:p w14:paraId="6F5A6176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0,240</w:t>
            </w:r>
          </w:p>
        </w:tc>
      </w:tr>
      <w:tr w:rsidR="001A11CE" w:rsidRPr="001A11CE" w14:paraId="66679751" w14:textId="77777777" w:rsidTr="005E10D7">
        <w:tc>
          <w:tcPr>
            <w:tcW w:w="1242" w:type="dxa"/>
            <w:shd w:val="clear" w:color="auto" w:fill="auto"/>
          </w:tcPr>
          <w:p w14:paraId="077ABA78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INF-y,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4 </w:t>
            </w:r>
            <w:proofErr w:type="spellStart"/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mean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14:paraId="0A503948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1,103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a</w:t>
            </w:r>
          </w:p>
        </w:tc>
        <w:tc>
          <w:tcPr>
            <w:tcW w:w="805" w:type="dxa"/>
            <w:shd w:val="clear" w:color="auto" w:fill="auto"/>
          </w:tcPr>
          <w:p w14:paraId="42B22EA9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0,449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b</w:t>
            </w:r>
          </w:p>
        </w:tc>
        <w:tc>
          <w:tcPr>
            <w:tcW w:w="804" w:type="dxa"/>
            <w:shd w:val="clear" w:color="auto" w:fill="auto"/>
          </w:tcPr>
          <w:p w14:paraId="48B4E961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0,525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b</w:t>
            </w:r>
          </w:p>
        </w:tc>
        <w:tc>
          <w:tcPr>
            <w:tcW w:w="805" w:type="dxa"/>
            <w:shd w:val="clear" w:color="auto" w:fill="auto"/>
          </w:tcPr>
          <w:p w14:paraId="5F69FBDD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0,404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a</w:t>
            </w:r>
          </w:p>
        </w:tc>
        <w:tc>
          <w:tcPr>
            <w:tcW w:w="805" w:type="dxa"/>
            <w:shd w:val="clear" w:color="auto" w:fill="auto"/>
          </w:tcPr>
          <w:p w14:paraId="7FF02E04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0,981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b</w:t>
            </w:r>
          </w:p>
        </w:tc>
        <w:tc>
          <w:tcPr>
            <w:tcW w:w="804" w:type="dxa"/>
            <w:shd w:val="clear" w:color="auto" w:fill="auto"/>
          </w:tcPr>
          <w:p w14:paraId="3C223C66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0,11</w:t>
            </w:r>
          </w:p>
        </w:tc>
        <w:tc>
          <w:tcPr>
            <w:tcW w:w="805" w:type="dxa"/>
            <w:shd w:val="clear" w:color="auto" w:fill="auto"/>
          </w:tcPr>
          <w:p w14:paraId="0873F318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804" w:type="dxa"/>
            <w:shd w:val="clear" w:color="auto" w:fill="auto"/>
          </w:tcPr>
          <w:p w14:paraId="6341919F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0,020</w:t>
            </w:r>
          </w:p>
        </w:tc>
        <w:tc>
          <w:tcPr>
            <w:tcW w:w="805" w:type="dxa"/>
            <w:shd w:val="clear" w:color="auto" w:fill="auto"/>
          </w:tcPr>
          <w:p w14:paraId="657C598D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0,001</w:t>
            </w:r>
          </w:p>
        </w:tc>
        <w:tc>
          <w:tcPr>
            <w:tcW w:w="805" w:type="dxa"/>
            <w:shd w:val="clear" w:color="auto" w:fill="auto"/>
          </w:tcPr>
          <w:p w14:paraId="6E84596D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0,058</w:t>
            </w:r>
          </w:p>
        </w:tc>
      </w:tr>
      <w:tr w:rsidR="001A11CE" w:rsidRPr="001A11CE" w14:paraId="3FAEE25E" w14:textId="77777777" w:rsidTr="005E10D7">
        <w:tc>
          <w:tcPr>
            <w:tcW w:w="1242" w:type="dxa"/>
            <w:shd w:val="clear" w:color="auto" w:fill="auto"/>
          </w:tcPr>
          <w:p w14:paraId="2F24EDD8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TNF-a,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4 </w:t>
            </w:r>
            <w:proofErr w:type="spellStart"/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mean</w:t>
            </w:r>
            <w:proofErr w:type="spellEnd"/>
          </w:p>
        </w:tc>
        <w:tc>
          <w:tcPr>
            <w:tcW w:w="804" w:type="dxa"/>
            <w:shd w:val="clear" w:color="auto" w:fill="auto"/>
          </w:tcPr>
          <w:p w14:paraId="36C55521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1,025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a</w:t>
            </w:r>
          </w:p>
        </w:tc>
        <w:tc>
          <w:tcPr>
            <w:tcW w:w="805" w:type="dxa"/>
            <w:shd w:val="clear" w:color="auto" w:fill="auto"/>
          </w:tcPr>
          <w:p w14:paraId="4B5FAEC6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0,631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b</w:t>
            </w:r>
          </w:p>
        </w:tc>
        <w:tc>
          <w:tcPr>
            <w:tcW w:w="804" w:type="dxa"/>
            <w:shd w:val="clear" w:color="auto" w:fill="auto"/>
          </w:tcPr>
          <w:p w14:paraId="30C0CF54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0,612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b</w:t>
            </w:r>
          </w:p>
        </w:tc>
        <w:tc>
          <w:tcPr>
            <w:tcW w:w="805" w:type="dxa"/>
            <w:shd w:val="clear" w:color="auto" w:fill="auto"/>
          </w:tcPr>
          <w:p w14:paraId="6FDE847B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0,448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a</w:t>
            </w:r>
          </w:p>
        </w:tc>
        <w:tc>
          <w:tcPr>
            <w:tcW w:w="805" w:type="dxa"/>
            <w:shd w:val="clear" w:color="auto" w:fill="auto"/>
          </w:tcPr>
          <w:p w14:paraId="468D6103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1,064</w:t>
            </w: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vertAlign w:val="superscript"/>
                <w:lang w:eastAsia="pl-PL"/>
              </w:rPr>
              <w:t xml:space="preserve"> b</w:t>
            </w:r>
          </w:p>
        </w:tc>
        <w:tc>
          <w:tcPr>
            <w:tcW w:w="804" w:type="dxa"/>
            <w:shd w:val="clear" w:color="auto" w:fill="auto"/>
          </w:tcPr>
          <w:p w14:paraId="38CF9385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0,06</w:t>
            </w:r>
          </w:p>
        </w:tc>
        <w:tc>
          <w:tcPr>
            <w:tcW w:w="805" w:type="dxa"/>
            <w:shd w:val="clear" w:color="auto" w:fill="auto"/>
          </w:tcPr>
          <w:p w14:paraId="0E5B3095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0,05</w:t>
            </w:r>
          </w:p>
        </w:tc>
        <w:tc>
          <w:tcPr>
            <w:tcW w:w="804" w:type="dxa"/>
            <w:shd w:val="clear" w:color="auto" w:fill="auto"/>
          </w:tcPr>
          <w:p w14:paraId="5B6380BF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0,005</w:t>
            </w:r>
          </w:p>
        </w:tc>
        <w:tc>
          <w:tcPr>
            <w:tcW w:w="805" w:type="dxa"/>
            <w:shd w:val="clear" w:color="auto" w:fill="auto"/>
          </w:tcPr>
          <w:p w14:paraId="134EF735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0,001</w:t>
            </w:r>
          </w:p>
        </w:tc>
        <w:tc>
          <w:tcPr>
            <w:tcW w:w="805" w:type="dxa"/>
            <w:shd w:val="clear" w:color="auto" w:fill="auto"/>
          </w:tcPr>
          <w:p w14:paraId="576E5B3C" w14:textId="77777777" w:rsidR="001A11CE" w:rsidRPr="001A11CE" w:rsidRDefault="001A11CE" w:rsidP="001A11CE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</w:pPr>
            <w:r w:rsidRPr="001A11CE">
              <w:rPr>
                <w:rFonts w:ascii="Source Sans Pro" w:eastAsia="Times New Roman" w:hAnsi="Source Sans Pro" w:cs="Times New Roman"/>
                <w:color w:val="000000"/>
                <w:kern w:val="36"/>
                <w:sz w:val="16"/>
                <w:szCs w:val="16"/>
                <w:lang w:eastAsia="pl-PL"/>
              </w:rPr>
              <w:t>0,001</w:t>
            </w:r>
          </w:p>
        </w:tc>
      </w:tr>
    </w:tbl>
    <w:p w14:paraId="332EF442" w14:textId="77777777" w:rsidR="001A11CE" w:rsidRPr="001A11CE" w:rsidRDefault="001A11CE" w:rsidP="001A11CE">
      <w:pPr>
        <w:shd w:val="clear" w:color="auto" w:fill="FFFFFF"/>
        <w:spacing w:after="100" w:afterAutospacing="1" w:line="240" w:lineRule="auto"/>
        <w:outlineLvl w:val="0"/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C</w:t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vertAlign w:val="superscript"/>
          <w:lang w:eastAsia="pl-PL"/>
        </w:rPr>
        <w:t>1</w:t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-dieta kontrolna (dieta bez ASG)</w:t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br/>
        <w:t>T</w:t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vertAlign w:val="superscript"/>
          <w:lang w:eastAsia="pl-PL"/>
        </w:rPr>
        <w:t>1</w:t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-</w:t>
      </w:r>
      <w:r w:rsidRPr="001A11CE">
        <w:rPr>
          <w:rFonts w:ascii="Calibri" w:eastAsia="Calibri" w:hAnsi="Calibri" w:cs="Times New Roman"/>
          <w:sz w:val="18"/>
          <w:szCs w:val="18"/>
        </w:rPr>
        <w:t xml:space="preserve"> 20% ASG w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prestarter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 xml:space="preserve"> (0-3 dnia),10% ASG w starter (4-10 dnia),5% ASG w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grower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 xml:space="preserve">   (11-24 dnia) 0% ASG w finiszer (25-25 dzień )</w:t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br/>
        <w:t>T</w:t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vertAlign w:val="superscript"/>
          <w:lang w:eastAsia="pl-PL"/>
        </w:rPr>
        <w:t>2</w:t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-</w:t>
      </w:r>
      <w:r w:rsidRPr="001A11CE">
        <w:rPr>
          <w:rFonts w:ascii="Calibri" w:eastAsia="Calibri" w:hAnsi="Calibri" w:cs="Times New Roman"/>
          <w:sz w:val="18"/>
          <w:szCs w:val="18"/>
        </w:rPr>
        <w:t xml:space="preserve"> 5% ASG w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prestarter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 xml:space="preserve"> (0-3 dnia),5% ASG w starter (4-10 dnia),5% ASG w 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grower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 xml:space="preserve">   (11-24 dnia) 0% ASG w finiszer (25-25 dzień )</w:t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br/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vertAlign w:val="superscript"/>
          <w:lang w:eastAsia="pl-PL"/>
        </w:rPr>
        <w:t>4</w:t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 xml:space="preserve"> Zmiany w ekspresji każdego genu zostały znormalizowane do β aktyny  i GADPH</w:t>
      </w:r>
    </w:p>
    <w:p w14:paraId="2B5D6617" w14:textId="77777777" w:rsidR="001A11CE" w:rsidRPr="001A11CE" w:rsidRDefault="001A11CE" w:rsidP="001A11CE">
      <w:pPr>
        <w:shd w:val="clear" w:color="auto" w:fill="FFFFFF"/>
        <w:spacing w:after="100" w:afterAutospacing="1" w:line="240" w:lineRule="auto"/>
        <w:outlineLvl w:val="0"/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</w:pP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INF interferon, IL-interleukina, TNF czynnik martwicy nowotworów,</w:t>
      </w:r>
      <w:r w:rsidRPr="001A11CE">
        <w:rPr>
          <w:rFonts w:ascii="Calibri" w:eastAsia="Calibri" w:hAnsi="Calibri" w:cs="Times New Roman"/>
        </w:rPr>
        <w:t xml:space="preserve"> SEM -</w:t>
      </w:r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błąd standardowy średniej, średnie z literami indeksów górnych (</w:t>
      </w:r>
      <w:proofErr w:type="spellStart"/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a,b</w:t>
      </w:r>
      <w:proofErr w:type="spellEnd"/>
      <w:r w:rsidRPr="001A11CE">
        <w:rPr>
          <w:rFonts w:ascii="Source Sans Pro" w:eastAsia="Times New Roman" w:hAnsi="Source Sans Pro" w:cs="Times New Roman"/>
          <w:color w:val="000000"/>
          <w:kern w:val="36"/>
          <w:sz w:val="18"/>
          <w:szCs w:val="18"/>
          <w:lang w:eastAsia="pl-PL"/>
        </w:rPr>
        <w:t>) oznaczają istotne różnice między sposobami żywienia a segmentami jelita</w:t>
      </w:r>
    </w:p>
    <w:p w14:paraId="3AF65EAD" w14:textId="70E4ADB7" w:rsidR="00E36480" w:rsidRPr="00103557" w:rsidRDefault="00103557">
      <w:pPr>
        <w:rPr>
          <w:b/>
          <w:bCs/>
        </w:rPr>
      </w:pPr>
      <w:r w:rsidRPr="00103557">
        <w:rPr>
          <w:b/>
          <w:bCs/>
        </w:rPr>
        <w:t xml:space="preserve">Tłumaczenie </w:t>
      </w:r>
      <w:proofErr w:type="spellStart"/>
      <w:r w:rsidRPr="00103557">
        <w:rPr>
          <w:b/>
          <w:bCs/>
        </w:rPr>
        <w:t>PZZHiPD</w:t>
      </w:r>
      <w:proofErr w:type="spellEnd"/>
    </w:p>
    <w:p w14:paraId="0FE93B6C" w14:textId="0C1E9351" w:rsidR="00103557" w:rsidRPr="00103557" w:rsidRDefault="00103557">
      <w:pPr>
        <w:rPr>
          <w:b/>
          <w:bCs/>
          <w:i/>
          <w:iCs/>
        </w:rPr>
      </w:pPr>
      <w:r w:rsidRPr="00103557">
        <w:rPr>
          <w:b/>
          <w:bCs/>
          <w:i/>
          <w:iCs/>
        </w:rPr>
        <w:t>FINANSOWANE Z FUNDUSZU PROMOCJI MIĘSA DROBIOWEGO</w:t>
      </w:r>
    </w:p>
    <w:sectPr w:rsidR="00103557" w:rsidRPr="00103557" w:rsidSect="003A34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393A" w14:textId="77777777" w:rsidR="001A66B3" w:rsidRDefault="00103557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</w:t>
    </w:r>
    <w:r w:rsidRPr="001A66B3">
      <w:rPr>
        <w:b/>
        <w:bCs/>
      </w:rPr>
      <w:t>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CE"/>
    <w:rsid w:val="00103557"/>
    <w:rsid w:val="001A11CE"/>
    <w:rsid w:val="00E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7551"/>
  <w15:chartTrackingRefBased/>
  <w15:docId w15:val="{5CBAABF5-7C1A-4224-A586-FB5B2658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11C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11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content.yudu.com/web/1r3p1/0A1zifp/PoultryWorld2022-2/html/htmlArticles/articles_TC5FB4n6_TVDdRYX/images/IMG_shutterstock_24645586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2022-06-02T13:56:00Z</dcterms:created>
  <dcterms:modified xsi:type="dcterms:W3CDTF">2022-06-02T13:57:00Z</dcterms:modified>
</cp:coreProperties>
</file>